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吉林大学本科专业评估工作方案</w:t>
      </w:r>
    </w:p>
    <w:p>
      <w:pPr>
        <w:adjustRightInd w:val="0"/>
        <w:snapToGrid w:val="0"/>
        <w:spacing w:before="120" w:beforeLines="50" w:line="336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</w:t>
      </w:r>
    </w:p>
    <w:p>
      <w:pPr>
        <w:adjustRightInd w:val="0"/>
        <w:snapToGrid w:val="0"/>
        <w:spacing w:before="120" w:beforeLines="50" w:line="336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一、专业评估目的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贯彻落实《教育部关于全面提高高等教育质量的若干意见》（教高[2012]4号）和《关于普通高等学校本科教学评估工作的意见》（教高[2011]9号）文件精神，健全本科教学质量保障体系，建立专业动态调整机制，加强本科专业内涵建设，深化人才培养模式改革，强化专业特色，全面提高人才培养质量。</w:t>
      </w:r>
    </w:p>
    <w:p>
      <w:pPr>
        <w:adjustRightInd w:val="0"/>
        <w:snapToGrid w:val="0"/>
        <w:spacing w:before="120" w:beforeLines="50" w:line="336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二、专业评估原则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1.分类指导原则。根据学校专业建设发展规划，依据不同专业的人才培养目标，在全面分析其建设水平的基础上，加强分类指导，引导各专业合理确立发展目标。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2.问题引导原则。注重对专业发展和建设中的问题进行诊断，充分进行信息反馈，消除功利心态，提高专业建设与改革发展的实效。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3.数据实证原则。充分利用信息技术，采集反映各专业教学状态的基本数据，强调数据分析，注重事实判断。</w:t>
      </w:r>
    </w:p>
    <w:p>
      <w:pPr>
        <w:adjustRightInd w:val="0"/>
        <w:snapToGrid w:val="0"/>
        <w:spacing w:before="120" w:beforeLines="50" w:line="336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三、专业评估内容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科专业评估的内容，包括定位与规划、师资队伍、办学条件、培养过程、质量保障、学生质量、优势与特色等7个“一级指标”，计15个“二级指标”，共38个“主要观测点”。其主要内容详见附件《吉林大学本科专业评估指标体系（通用指标）》。</w:t>
      </w:r>
    </w:p>
    <w:p>
      <w:pPr>
        <w:adjustRightInd w:val="0"/>
        <w:snapToGrid w:val="0"/>
        <w:spacing w:before="120" w:beforeLines="50" w:line="336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四、专业评估方式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本科专业评估以专业自评、数据监测、过程评估、现场考察相结合的方式，采取“定性分析”与“定量分析”相结合的方法进行。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1.专业自评。专业按照学校评估要求进行自评，撰写专业自评报告。自评报告需经过学院教学委员会审议并通过。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2.数据监测。专业使用吉林大学本科教学质量保障平台系统，进行本科教学基本状态数据填报，系统对采集的数据进行统计分析，形成专业状态数据分析报告，辅助评估专家开展专业评估。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3.过程评估。学校评估专家对专业进行评估前，开展课堂教学、实践教学、毕业论文（设计）和考试等教学工作检查，检查结果作为专业评估的参考依据。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4.现场考察。专家组通过听取专业负责人汇报、查阅原始档案、考察教学实验室、与师生访谈等方式，进行现场考察。</w:t>
      </w:r>
    </w:p>
    <w:p>
      <w:pPr>
        <w:adjustRightInd w:val="0"/>
        <w:snapToGrid w:val="0"/>
        <w:spacing w:before="120" w:beforeLines="50" w:line="336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五、专业评估结论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专业评估结论分为优秀、良好、合格、不合格四种。评估结论以二级指标的达标等级及其数量予以认定。学校以适当方式公布评估结果。</w:t>
      </w:r>
    </w:p>
    <w:p>
      <w:pPr>
        <w:adjustRightInd w:val="0"/>
        <w:snapToGrid w:val="0"/>
        <w:spacing w:before="120" w:beforeLines="50" w:line="336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六、评估结果应用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1.专业评估结果为学校进一步加强专业建设，优化调整专业结构，以及制定专业招生计划等提供客观依据。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2.对于评估结果为“优秀”的专业，在申报专业建设项目和投入建设经费时予以优先。对于评估为“不合格”的专业，限期整改，重新评估仍不合格，则停止专业招生。</w:t>
      </w: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336" w:lineRule="auto"/>
        <w:ind w:firstLine="480" w:firstLineChars="200"/>
        <w:rPr>
          <w:rFonts w:hint="eastAsia" w:ascii="黑体" w:hAnsi="宋体" w:eastAsia="黑体"/>
          <w:bCs/>
          <w:color w:val="00000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4"/>
        </w:rPr>
        <w:br w:type="page"/>
      </w:r>
      <w:r>
        <w:rPr>
          <w:rFonts w:hint="eastAsia" w:ascii="黑体" w:hAnsi="宋体" w:eastAsia="黑体"/>
          <w:bCs/>
          <w:color w:val="000000"/>
          <w:sz w:val="28"/>
          <w:szCs w:val="28"/>
        </w:rPr>
        <w:t>附件：</w:t>
      </w:r>
    </w:p>
    <w:p>
      <w:pPr>
        <w:spacing w:before="120" w:beforeLines="50" w:after="120" w:afterLines="50"/>
        <w:jc w:val="center"/>
        <w:rPr>
          <w:rFonts w:hint="eastAsia" w:ascii="黑体" w:hAnsi="黑体" w:eastAsia="黑体" w:cs="黑体"/>
          <w:b/>
          <w:bCs/>
          <w:sz w:val="18"/>
          <w:szCs w:val="18"/>
        </w:rPr>
      </w:pPr>
      <w:r>
        <w:rPr>
          <w:rFonts w:hint="eastAsia" w:ascii="黑体" w:hAnsi="宋体" w:eastAsia="黑体"/>
          <w:b/>
          <w:color w:val="000000"/>
          <w:sz w:val="30"/>
          <w:szCs w:val="30"/>
        </w:rPr>
        <w:t>吉林大学本科专业评估指标体系（通用指标）</w:t>
      </w:r>
    </w:p>
    <w:tbl>
      <w:tblPr>
        <w:tblStyle w:val="6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685"/>
        <w:gridCol w:w="4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要素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主要观测点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1.定位与规划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1.1专业定位与培养目标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（1）专业定位与学科基础</w:t>
            </w:r>
          </w:p>
          <w:p>
            <w:pPr>
              <w:keepNext/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（2）专业培养目标与质量标准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1.2专业建设规划与水平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（1）专业建设规划</w:t>
            </w:r>
          </w:p>
          <w:p>
            <w:pPr>
              <w:keepNext/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（2）专业建设水平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2.师资队伍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2.1数量与结构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tabs>
                <w:tab w:val="left" w:pos="840"/>
              </w:tabs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（1）专业教师数量与结构</w:t>
            </w:r>
          </w:p>
          <w:p>
            <w:pPr>
              <w:keepNext/>
              <w:tabs>
                <w:tab w:val="left" w:pos="840"/>
              </w:tabs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（2）专业技术队伍数量与结构</w:t>
            </w:r>
          </w:p>
          <w:p>
            <w:pPr>
              <w:keepNext/>
              <w:tabs>
                <w:tab w:val="left" w:pos="840"/>
              </w:tabs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（3）校外兼职教师队伍建设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2.2教学水平与教学投入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（1）教师教学水平</w:t>
            </w:r>
          </w:p>
          <w:p>
            <w:pPr>
              <w:keepNext/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（2）教师科研水平</w:t>
            </w:r>
          </w:p>
          <w:p>
            <w:pPr>
              <w:keepNext/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（3）科研成果转化为教学</w:t>
            </w:r>
          </w:p>
          <w:p>
            <w:pPr>
              <w:keepNext/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= 3 \* GB3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（4）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教授、副教授为本科生上课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2.3教师发展与服务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tabs>
                <w:tab w:val="left" w:pos="6930"/>
              </w:tabs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（1）教学组织体系与团队建设</w:t>
            </w:r>
          </w:p>
          <w:p>
            <w:pPr>
              <w:keepNext/>
              <w:tabs>
                <w:tab w:val="left" w:pos="6930"/>
              </w:tabs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（2）教师教学与专业能力培养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3.办学条件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3.1教学设施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tabs>
                <w:tab w:val="center" w:pos="3529"/>
              </w:tabs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（1）专业实验室建设与开放情况</w:t>
            </w:r>
          </w:p>
          <w:p>
            <w:pPr>
              <w:keepNext/>
              <w:tabs>
                <w:tab w:val="center" w:pos="3529"/>
              </w:tabs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（2）专业资料室建设与开放情况</w:t>
            </w:r>
          </w:p>
          <w:p>
            <w:pPr>
              <w:keepNext/>
              <w:tabs>
                <w:tab w:val="center" w:pos="3529"/>
              </w:tabs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（3）教学信息化建设与应用效果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3.2实习基地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tabs>
                <w:tab w:val="center" w:pos="3529"/>
              </w:tabs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（1）实习基地建设与利用情况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3.3社会资源利用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（1）合作办学情况</w:t>
            </w:r>
          </w:p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（2）学生第二校园与境外学习情况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4.培养过程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4.1课程建设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（1）课程设置与结构</w:t>
            </w:r>
          </w:p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（2）课程建设情况</w:t>
            </w:r>
          </w:p>
          <w:p>
            <w:pPr>
              <w:keepNext/>
              <w:spacing w:line="28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（3）教材建设情况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4.2课堂教学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（1）课堂教学效果</w:t>
            </w:r>
          </w:p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（2）教学方式与方法改革</w:t>
            </w:r>
          </w:p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（3）考试、考核方法改革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4.3实践教学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（1）实践教学体系与实施效果</w:t>
            </w:r>
          </w:p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（2）实习（实训、社会实践）管理与质量</w:t>
            </w:r>
          </w:p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（3）毕业论文（设计）管理与质量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5.质量保障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5.1管理制度与质量监控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numPr>
                <w:ilvl w:val="0"/>
                <w:numId w:val="1"/>
              </w:numPr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教学管理制度及各环节质量标准</w:t>
            </w:r>
          </w:p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（2）日常教学管理及制度执行情况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5.2质量持续改进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numPr>
                <w:ilvl w:val="0"/>
                <w:numId w:val="2"/>
              </w:numPr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质量改进的途径与方法</w:t>
            </w:r>
          </w:p>
          <w:p>
            <w:pPr>
              <w:keepNext/>
              <w:numPr>
                <w:ilvl w:val="0"/>
                <w:numId w:val="2"/>
              </w:numPr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质量改进的效果与评价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6.学生质量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5.1学生综合素质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numPr>
                <w:ilvl w:val="0"/>
                <w:numId w:val="3"/>
              </w:numPr>
              <w:spacing w:line="300" w:lineRule="exact"/>
              <w:jc w:val="lef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学生学业水平</w:t>
            </w:r>
          </w:p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（2）学风与综合素质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5.2社会评价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（1）招生生源情况</w:t>
            </w:r>
          </w:p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（2）毕业生就业及深造情况</w:t>
            </w:r>
          </w:p>
          <w:p>
            <w:pPr>
              <w:keepNext/>
              <w:spacing w:line="300" w:lineRule="exact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（3）社会用人单位评价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7.优势与特色</w:t>
            </w:r>
          </w:p>
        </w:tc>
        <w:tc>
          <w:tcPr>
            <w:tcW w:w="6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00" w:lineRule="exact"/>
              <w:jc w:val="center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专业在国内外的地位和发展特色</w:t>
            </w:r>
          </w:p>
        </w:tc>
      </w:tr>
    </w:tbl>
    <w:p>
      <w:pPr>
        <w:rPr>
          <w:rFonts w:hint="eastAsia"/>
          <w:sz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Arial Rounded MT Bold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74689"/>
    <w:multiLevelType w:val="singleLevel"/>
    <w:tmpl w:val="57F7468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7F747F0"/>
    <w:multiLevelType w:val="singleLevel"/>
    <w:tmpl w:val="57F747F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7F7485D"/>
    <w:multiLevelType w:val="singleLevel"/>
    <w:tmpl w:val="57F7485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2"/>
    <w:rsid w:val="004B476F"/>
    <w:rsid w:val="00ED5E12"/>
    <w:rsid w:val="5D6424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274</Words>
  <Characters>1563</Characters>
  <Lines>13</Lines>
  <Paragraphs>3</Paragraphs>
  <ScaleCrop>false</ScaleCrop>
  <LinksUpToDate>false</LinksUpToDate>
  <CharactersWithSpaces>1834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2016-10-08T01:46:00Z</dcterms:created>
  <dc:creator>dell9020</dc:creator>
  <cp:lastModifiedBy>Administrator</cp:lastModifiedBy>
  <dcterms:modified xsi:type="dcterms:W3CDTF">2016-10-08T02:13:06Z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